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F50A" w14:textId="0A641875" w:rsidR="00947E8E" w:rsidRPr="003F209E" w:rsidRDefault="003B0411">
      <w:pPr>
        <w:rPr>
          <w:rFonts w:ascii="Avenir Next LT Pro" w:hAnsi="Avenir Next LT Pro"/>
        </w:rPr>
      </w:pPr>
      <w:r w:rsidRPr="003F209E">
        <w:rPr>
          <w:rFonts w:ascii="Avenir Next LT Pro" w:hAnsi="Avenir Next LT Pro"/>
        </w:rPr>
        <w:t>HOP ko</w:t>
      </w:r>
      <w:r w:rsidR="00030C7C">
        <w:rPr>
          <w:rFonts w:ascii="Avenir Next LT Pro" w:hAnsi="Avenir Next LT Pro"/>
        </w:rPr>
        <w:t>o</w:t>
      </w:r>
      <w:r w:rsidRPr="003F209E">
        <w:rPr>
          <w:rFonts w:ascii="Avenir Next LT Pro" w:hAnsi="Avenir Next LT Pro"/>
        </w:rPr>
        <w:t>livõrgu töötoa kokkuvõtted, koolivaliku toetamise laudkond</w:t>
      </w:r>
    </w:p>
    <w:p w14:paraId="65205DEB" w14:textId="77777777" w:rsidR="003B0411" w:rsidRPr="003F209E" w:rsidRDefault="003B0411">
      <w:pPr>
        <w:rPr>
          <w:rFonts w:ascii="Avenir Next LT Pro" w:hAnsi="Avenir Next LT Pro"/>
        </w:rPr>
      </w:pPr>
      <w:r w:rsidRPr="003F209E">
        <w:rPr>
          <w:rFonts w:ascii="Avenir Next LT Pro" w:hAnsi="Avenir Next LT Pro"/>
        </w:rPr>
        <w:t>20.10.2023 Harku</w:t>
      </w:r>
    </w:p>
    <w:p w14:paraId="25BFDFAF" w14:textId="77777777" w:rsidR="003B0411" w:rsidRPr="003F209E" w:rsidRDefault="003B0411">
      <w:pPr>
        <w:rPr>
          <w:rFonts w:ascii="Avenir Next LT Pro" w:hAnsi="Avenir Next LT Pro"/>
        </w:rPr>
      </w:pPr>
      <w:r w:rsidRPr="003F209E">
        <w:rPr>
          <w:rFonts w:ascii="Avenir Next LT Pro" w:hAnsi="Avenir Next LT Pro"/>
        </w:rPr>
        <w:t>Kirja pannud Triin Lauri</w:t>
      </w:r>
    </w:p>
    <w:p w14:paraId="4CF4F1D9" w14:textId="77777777" w:rsidR="003B0411" w:rsidRPr="003F209E" w:rsidRDefault="003B0411">
      <w:pPr>
        <w:rPr>
          <w:rFonts w:ascii="Avenir Next LT Pro" w:hAnsi="Avenir Next LT Pro"/>
        </w:rPr>
      </w:pPr>
    </w:p>
    <w:p w14:paraId="6BEEF14A" w14:textId="77777777" w:rsidR="00BF494A" w:rsidRPr="003F209E" w:rsidRDefault="00BF494A">
      <w:pPr>
        <w:rPr>
          <w:rFonts w:ascii="Avenir Next LT Pro" w:hAnsi="Avenir Next LT Pro"/>
        </w:rPr>
      </w:pPr>
      <w:r w:rsidRPr="003F209E">
        <w:rPr>
          <w:rFonts w:ascii="Avenir Next LT Pro" w:hAnsi="Avenir Next LT Pro"/>
        </w:rPr>
        <w:t xml:space="preserve">Peamine küsimus: </w:t>
      </w:r>
      <w:r w:rsidR="00BF16EE" w:rsidRPr="003F209E">
        <w:rPr>
          <w:rFonts w:ascii="Avenir Next LT Pro" w:hAnsi="Avenir Next LT Pro"/>
        </w:rPr>
        <w:t>Mille alusel lapsevanemad teevad koolivalikuid ning kuidas neid toetada koolivaliku tegemisel? </w:t>
      </w:r>
    </w:p>
    <w:p w14:paraId="48AB8D75" w14:textId="77777777" w:rsidR="00BF494A" w:rsidRPr="003F209E" w:rsidRDefault="00BF494A">
      <w:pPr>
        <w:rPr>
          <w:rFonts w:ascii="Avenir Next LT Pro" w:hAnsi="Avenir Next LT Pro"/>
        </w:rPr>
      </w:pPr>
      <w:r w:rsidRPr="003F209E">
        <w:rPr>
          <w:rFonts w:ascii="Avenir Next LT Pro" w:hAnsi="Avenir Next LT Pro"/>
        </w:rPr>
        <w:t>Kokkuvõtvad mõtted:</w:t>
      </w:r>
    </w:p>
    <w:p w14:paraId="785E98CB" w14:textId="77777777" w:rsidR="00867C98" w:rsidRPr="003F209E" w:rsidRDefault="00BF494A" w:rsidP="00867C98">
      <w:pPr>
        <w:pStyle w:val="ListParagraph"/>
        <w:numPr>
          <w:ilvl w:val="0"/>
          <w:numId w:val="2"/>
        </w:numPr>
        <w:rPr>
          <w:rFonts w:ascii="Avenir Next LT Pro" w:hAnsi="Avenir Next LT Pro"/>
          <w:sz w:val="22"/>
          <w:szCs w:val="22"/>
        </w:rPr>
      </w:pPr>
      <w:r w:rsidRPr="003F209E">
        <w:rPr>
          <w:rFonts w:ascii="Avenir Next LT Pro" w:hAnsi="Avenir Next LT Pro"/>
          <w:sz w:val="22"/>
          <w:szCs w:val="22"/>
        </w:rPr>
        <w:t xml:space="preserve">Mitte ainult Eesti eri piirkonnad ei seisa koolivõrgu kaasajastamise problemaatika korral silmitsi väga erinevate probleemidega (kahanevad-kasvavad piirkonnad, suured-väikesed klassid/koolid, erinevused õpilasekoha maksumuses jne), vaid ka Harjumaa eri piirkonnad on väga eriilmelised, sh ka koolikohtade jagamise kontekstis. </w:t>
      </w:r>
      <w:r w:rsidR="0012580F" w:rsidRPr="003F209E">
        <w:rPr>
          <w:rFonts w:ascii="Avenir Next LT Pro" w:hAnsi="Avenir Next LT Pro"/>
          <w:sz w:val="22"/>
          <w:szCs w:val="22"/>
        </w:rPr>
        <w:t>On piirkonnad, kus on riigigümnaasium (Harku, Viimsi, Saue) ja piirkonnad</w:t>
      </w:r>
      <w:r w:rsidR="00867C98" w:rsidRPr="003F209E">
        <w:rPr>
          <w:rFonts w:ascii="Avenir Next LT Pro" w:hAnsi="Avenir Next LT Pro"/>
          <w:sz w:val="22"/>
          <w:szCs w:val="22"/>
        </w:rPr>
        <w:t>, kus ei ole</w:t>
      </w:r>
      <w:r w:rsidR="0012580F" w:rsidRPr="003F209E">
        <w:rPr>
          <w:rFonts w:ascii="Avenir Next LT Pro" w:hAnsi="Avenir Next LT Pro"/>
          <w:sz w:val="22"/>
          <w:szCs w:val="22"/>
        </w:rPr>
        <w:t>. Viimastes (v.a Raasiku vallas) tegutseb G12-tüüpi munitsipaalgümnaasium. On piirkondi (Harku, Viimsi), kust</w:t>
      </w:r>
      <w:r w:rsidRPr="003F209E">
        <w:rPr>
          <w:rFonts w:ascii="Avenir Next LT Pro" w:hAnsi="Avenir Next LT Pro"/>
          <w:sz w:val="22"/>
          <w:szCs w:val="22"/>
        </w:rPr>
        <w:t xml:space="preserve"> </w:t>
      </w:r>
      <w:r w:rsidR="0012580F" w:rsidRPr="003F209E">
        <w:rPr>
          <w:rFonts w:ascii="Avenir Next LT Pro" w:hAnsi="Avenir Next LT Pro"/>
          <w:sz w:val="22"/>
          <w:szCs w:val="22"/>
        </w:rPr>
        <w:t>õpiränne välja (nt Tallinnasse) on suur</w:t>
      </w:r>
      <w:r w:rsidR="00867C98" w:rsidRPr="003F209E">
        <w:rPr>
          <w:rFonts w:ascii="Avenir Next LT Pro" w:hAnsi="Avenir Next LT Pro"/>
          <w:sz w:val="22"/>
          <w:szCs w:val="22"/>
        </w:rPr>
        <w:t>,</w:t>
      </w:r>
      <w:r w:rsidR="0012580F" w:rsidRPr="003F209E">
        <w:rPr>
          <w:rFonts w:ascii="Avenir Next LT Pro" w:hAnsi="Avenir Next LT Pro"/>
          <w:sz w:val="22"/>
          <w:szCs w:val="22"/>
        </w:rPr>
        <w:t xml:space="preserve"> aga ka piirkondi (Keila, Raasiku), kuhu on teistpidi õpiränne. On ühe kooliga (Keila, Kiili), aga ka 6-7 kooliga piirkondi. Seega </w:t>
      </w:r>
      <w:r w:rsidR="00867C98" w:rsidRPr="003F209E">
        <w:rPr>
          <w:rFonts w:ascii="Avenir Next LT Pro" w:hAnsi="Avenir Next LT Pro"/>
          <w:sz w:val="22"/>
          <w:szCs w:val="22"/>
        </w:rPr>
        <w:t xml:space="preserve">on ka </w:t>
      </w:r>
      <w:r w:rsidR="00867C98" w:rsidRPr="003F209E">
        <w:rPr>
          <w:rFonts w:ascii="Avenir Next LT Pro" w:hAnsi="Avenir Next LT Pro"/>
          <w:b/>
          <w:sz w:val="22"/>
          <w:szCs w:val="22"/>
        </w:rPr>
        <w:t>koolikohtade jagamise ülesanne neis piirkondades väga erinev</w:t>
      </w:r>
      <w:r w:rsidR="00E0170D" w:rsidRPr="003F209E">
        <w:rPr>
          <w:rFonts w:ascii="Avenir Next LT Pro" w:hAnsi="Avenir Next LT Pro"/>
          <w:b/>
          <w:sz w:val="22"/>
          <w:szCs w:val="22"/>
        </w:rPr>
        <w:t>,</w:t>
      </w:r>
      <w:r w:rsidR="00867C98" w:rsidRPr="003F209E">
        <w:rPr>
          <w:rFonts w:ascii="Avenir Next LT Pro" w:hAnsi="Avenir Next LT Pro"/>
          <w:b/>
          <w:sz w:val="22"/>
          <w:szCs w:val="22"/>
        </w:rPr>
        <w:t xml:space="preserve"> sh </w:t>
      </w:r>
      <w:r w:rsidR="00E0170D" w:rsidRPr="003F209E">
        <w:rPr>
          <w:rFonts w:ascii="Avenir Next LT Pro" w:hAnsi="Avenir Next LT Pro"/>
          <w:b/>
          <w:sz w:val="22"/>
          <w:szCs w:val="22"/>
        </w:rPr>
        <w:t xml:space="preserve">nii </w:t>
      </w:r>
      <w:r w:rsidR="00867C98" w:rsidRPr="003F209E">
        <w:rPr>
          <w:rFonts w:ascii="Avenir Next LT Pro" w:hAnsi="Avenir Next LT Pro"/>
          <w:b/>
          <w:sz w:val="22"/>
          <w:szCs w:val="22"/>
        </w:rPr>
        <w:t>ses osas, millise kooliastme kohti jagatakse</w:t>
      </w:r>
      <w:r w:rsidR="00E0170D" w:rsidRPr="003F209E">
        <w:rPr>
          <w:rFonts w:ascii="Avenir Next LT Pro" w:hAnsi="Avenir Next LT Pro"/>
          <w:b/>
          <w:sz w:val="22"/>
          <w:szCs w:val="22"/>
        </w:rPr>
        <w:t>, aga ka piirkonna haridusametnike ja perede vaates.</w:t>
      </w:r>
      <w:r w:rsidR="00867C98" w:rsidRPr="003F209E">
        <w:rPr>
          <w:rFonts w:ascii="Avenir Next LT Pro" w:hAnsi="Avenir Next LT Pro"/>
          <w:b/>
          <w:sz w:val="22"/>
          <w:szCs w:val="22"/>
        </w:rPr>
        <w:t xml:space="preserve"> </w:t>
      </w:r>
    </w:p>
    <w:p w14:paraId="60189509" w14:textId="77777777" w:rsidR="00485906" w:rsidRPr="003F209E" w:rsidRDefault="00485906" w:rsidP="00485906">
      <w:pPr>
        <w:pStyle w:val="ListParagraph"/>
        <w:rPr>
          <w:rFonts w:ascii="Avenir Next LT Pro" w:hAnsi="Avenir Next LT Pro"/>
          <w:sz w:val="22"/>
          <w:szCs w:val="22"/>
        </w:rPr>
      </w:pPr>
    </w:p>
    <w:p w14:paraId="2A1A6CB0" w14:textId="77777777" w:rsidR="00867C98" w:rsidRPr="003F209E" w:rsidRDefault="00485906" w:rsidP="00485906">
      <w:pPr>
        <w:rPr>
          <w:rFonts w:ascii="Avenir Next LT Pro" w:hAnsi="Avenir Next LT Pro"/>
        </w:rPr>
      </w:pPr>
      <w:r w:rsidRPr="003F209E">
        <w:rPr>
          <w:rFonts w:ascii="Avenir Next LT Pro" w:hAnsi="Avenir Next LT Pro"/>
        </w:rPr>
        <w:t xml:space="preserve">Taustaks: </w:t>
      </w:r>
      <w:r w:rsidR="00867C98" w:rsidRPr="003F209E">
        <w:rPr>
          <w:rFonts w:ascii="Avenir Next LT Pro" w:hAnsi="Avenir Next LT Pro"/>
        </w:rPr>
        <w:t xml:space="preserve">Vastavalt täna kehtivale </w:t>
      </w:r>
      <w:proofErr w:type="spellStart"/>
      <w:r w:rsidR="00867C98" w:rsidRPr="003F209E">
        <w:rPr>
          <w:rFonts w:ascii="Avenir Next LT Pro" w:hAnsi="Avenir Next LT Pro"/>
        </w:rPr>
        <w:t>PGSile</w:t>
      </w:r>
      <w:proofErr w:type="spellEnd"/>
      <w:r w:rsidR="00867C98" w:rsidRPr="003F209E">
        <w:rPr>
          <w:rFonts w:ascii="Avenir Next LT Pro" w:hAnsi="Avenir Next LT Pro"/>
        </w:rPr>
        <w:t xml:space="preserve"> (§ 10) on koolikohustuse täitmiseks võimaluste loomine valla või linna kohustus „(1) Vald või linn tagab koolikohustuslikule isikule, kelle elukoht asub selle valla või linna haldusterritooriumil, võimaluse omandada põhiharidus. Igale koolikohustuslikule isikule … põhihariduse omandamise võimaluse tagamiseks </w:t>
      </w:r>
      <w:r w:rsidR="00867C98" w:rsidRPr="003F209E">
        <w:rPr>
          <w:rFonts w:ascii="Avenir Next LT Pro" w:hAnsi="Avenir Next LT Pro"/>
          <w:b/>
        </w:rPr>
        <w:t>kehtestab valla- või linnavalitsus elukohajärgse munitsipaalkooli</w:t>
      </w:r>
      <w:r w:rsidR="00867C98" w:rsidRPr="003F209E">
        <w:rPr>
          <w:rFonts w:ascii="Avenir Next LT Pro" w:hAnsi="Avenir Next LT Pro"/>
        </w:rPr>
        <w:t xml:space="preserve"> (edaspidi elukohajärgne kool) </w:t>
      </w:r>
      <w:r w:rsidR="00867C98" w:rsidRPr="003F209E">
        <w:rPr>
          <w:rFonts w:ascii="Avenir Next LT Pro" w:hAnsi="Avenir Next LT Pro"/>
          <w:b/>
        </w:rPr>
        <w:t>määramise tingimused ja korra.</w:t>
      </w:r>
      <w:r w:rsidR="00867C98" w:rsidRPr="003F209E">
        <w:rPr>
          <w:rFonts w:ascii="Avenir Next LT Pro" w:hAnsi="Avenir Next LT Pro"/>
        </w:rPr>
        <w:t xml:space="preserve"> Valla- või linnavalitsus arvestab elukohajärgse kooli määramisel oluliste asjaoludena esmajärjekorras</w:t>
      </w:r>
      <w:r w:rsidR="00867C98" w:rsidRPr="003F209E">
        <w:rPr>
          <w:rFonts w:ascii="Avenir Next LT Pro" w:hAnsi="Avenir Next LT Pro"/>
          <w:b/>
        </w:rPr>
        <w:t xml:space="preserve"> õpilase elukoha lähedust koolile, sama pere teiste laste õppimist samas koolis ja võimaluse korral vanemate soove</w:t>
      </w:r>
      <w:r w:rsidR="00867C98" w:rsidRPr="003F209E">
        <w:rPr>
          <w:rFonts w:ascii="Avenir Next LT Pro" w:hAnsi="Avenir Next LT Pro"/>
        </w:rPr>
        <w:t>.</w:t>
      </w:r>
      <w:r w:rsidRPr="003F209E">
        <w:rPr>
          <w:rFonts w:ascii="Avenir Next LT Pro" w:hAnsi="Avenir Next LT Pro"/>
        </w:rPr>
        <w:t>“</w:t>
      </w:r>
    </w:p>
    <w:p w14:paraId="52C85D6D" w14:textId="77777777" w:rsidR="00485906" w:rsidRPr="003F209E" w:rsidRDefault="00485906" w:rsidP="00485906">
      <w:pPr>
        <w:rPr>
          <w:rFonts w:ascii="Avenir Next LT Pro" w:hAnsi="Avenir Next LT Pro"/>
        </w:rPr>
      </w:pPr>
      <w:r w:rsidRPr="003F209E">
        <w:rPr>
          <w:rFonts w:ascii="Avenir Next LT Pro" w:hAnsi="Avenir Next LT Pro"/>
        </w:rPr>
        <w:t xml:space="preserve">Seega </w:t>
      </w:r>
      <w:proofErr w:type="spellStart"/>
      <w:r w:rsidRPr="003F209E">
        <w:rPr>
          <w:rFonts w:ascii="Avenir Next LT Pro" w:hAnsi="Avenir Next LT Pro"/>
        </w:rPr>
        <w:t>PGSi</w:t>
      </w:r>
      <w:proofErr w:type="spellEnd"/>
      <w:r w:rsidRPr="003F209E">
        <w:rPr>
          <w:rFonts w:ascii="Avenir Next LT Pro" w:hAnsi="Avenir Next LT Pro"/>
        </w:rPr>
        <w:t xml:space="preserve"> vaates ei ole vahet, kas räägime I, II või III kooliastmest. Piirkondlikes kohajagamise määrustes siiski on erisusi 1.klasside jm kohajagamiste osas.</w:t>
      </w:r>
    </w:p>
    <w:p w14:paraId="6BB4EEFE" w14:textId="77777777" w:rsidR="00E0170D" w:rsidRPr="003F209E" w:rsidRDefault="00867C98" w:rsidP="00E0170D">
      <w:pPr>
        <w:pStyle w:val="ListParagraph"/>
        <w:numPr>
          <w:ilvl w:val="0"/>
          <w:numId w:val="2"/>
        </w:numPr>
        <w:rPr>
          <w:rFonts w:ascii="Avenir Next LT Pro" w:hAnsi="Avenir Next LT Pro"/>
          <w:sz w:val="22"/>
          <w:szCs w:val="22"/>
        </w:rPr>
      </w:pPr>
      <w:r w:rsidRPr="003F209E">
        <w:rPr>
          <w:rFonts w:ascii="Avenir Next LT Pro" w:hAnsi="Avenir Next LT Pro"/>
          <w:sz w:val="22"/>
          <w:szCs w:val="22"/>
        </w:rPr>
        <w:t xml:space="preserve">Lõviosa piirkondadest jagab koolikohti piirkonnaüleselt, mis on kooskõlas hea kohajagamise praktikaga. Arvestades, et Harjumaa õpiränne on suur ja hariduses ollakse võtmas suundumus </w:t>
      </w:r>
      <w:r w:rsidRPr="003F209E">
        <w:rPr>
          <w:rFonts w:ascii="Avenir Next LT Pro" w:hAnsi="Avenir Next LT Pro"/>
          <w:b/>
          <w:sz w:val="22"/>
          <w:szCs w:val="22"/>
        </w:rPr>
        <w:t>konsolideeritud III kooliastme korraldamisele</w:t>
      </w:r>
      <w:r w:rsidR="00B845A3" w:rsidRPr="003F209E">
        <w:rPr>
          <w:rFonts w:ascii="Avenir Next LT Pro" w:hAnsi="Avenir Next LT Pro"/>
          <w:b/>
          <w:sz w:val="22"/>
          <w:szCs w:val="22"/>
        </w:rPr>
        <w:t xml:space="preserve"> </w:t>
      </w:r>
      <w:r w:rsidR="00B845A3" w:rsidRPr="003F209E">
        <w:rPr>
          <w:rFonts w:ascii="Avenir Next LT Pro" w:hAnsi="Avenir Next LT Pro"/>
          <w:sz w:val="22"/>
          <w:szCs w:val="22"/>
        </w:rPr>
        <w:t>(mis võib mh tähendada suuremat vajadust piirkondade-ülese koolikohtade jagamise järele)</w:t>
      </w:r>
      <w:r w:rsidRPr="003F209E">
        <w:rPr>
          <w:rFonts w:ascii="Avenir Next LT Pro" w:hAnsi="Avenir Next LT Pro"/>
          <w:sz w:val="22"/>
          <w:szCs w:val="22"/>
        </w:rPr>
        <w:t xml:space="preserve">, siis </w:t>
      </w:r>
      <w:r w:rsidRPr="003F209E">
        <w:rPr>
          <w:rFonts w:ascii="Avenir Next LT Pro" w:hAnsi="Avenir Next LT Pro"/>
          <w:b/>
          <w:sz w:val="22"/>
          <w:szCs w:val="22"/>
        </w:rPr>
        <w:t>kaaluda võiks ka üle-Harjumaalist ehk tsentraalset Harjumaa koolikohtade jagamist</w:t>
      </w:r>
      <w:r w:rsidRPr="003F209E">
        <w:rPr>
          <w:rFonts w:ascii="Avenir Next LT Pro" w:hAnsi="Avenir Next LT Pro"/>
          <w:sz w:val="22"/>
          <w:szCs w:val="22"/>
        </w:rPr>
        <w:t xml:space="preserve">. </w:t>
      </w:r>
      <w:r w:rsidR="00485906" w:rsidRPr="003F209E">
        <w:rPr>
          <w:rFonts w:ascii="Avenir Next LT Pro" w:hAnsi="Avenir Next LT Pro"/>
          <w:sz w:val="22"/>
          <w:szCs w:val="22"/>
        </w:rPr>
        <w:t>See lihtsustaks perede haridusvalikute tegemist (kogu info ühes kohas, selged ja läbipaistvad reeglid), kuid eeldab valdade-ülest koosööd.</w:t>
      </w:r>
      <w:r w:rsidR="005C205B" w:rsidRPr="003F209E">
        <w:rPr>
          <w:rFonts w:ascii="Avenir Next LT Pro" w:hAnsi="Avenir Next LT Pro"/>
          <w:sz w:val="22"/>
          <w:szCs w:val="22"/>
        </w:rPr>
        <w:t xml:space="preserve"> Seadusandlikult on selliseks koosööks alus ja ka rahastusmudel olemas.</w:t>
      </w:r>
      <w:r w:rsidR="00485906" w:rsidRPr="003F209E">
        <w:rPr>
          <w:rFonts w:ascii="Avenir Next LT Pro" w:hAnsi="Avenir Next LT Pro"/>
          <w:sz w:val="22"/>
          <w:szCs w:val="22"/>
        </w:rPr>
        <w:t xml:space="preserve"> </w:t>
      </w:r>
    </w:p>
    <w:p w14:paraId="174182A8" w14:textId="77777777" w:rsidR="00485906" w:rsidRPr="003F209E" w:rsidRDefault="00485906" w:rsidP="00485906">
      <w:pPr>
        <w:pStyle w:val="ListParagraph"/>
        <w:rPr>
          <w:rFonts w:ascii="Avenir Next LT Pro" w:hAnsi="Avenir Next LT Pro"/>
          <w:sz w:val="22"/>
          <w:szCs w:val="22"/>
        </w:rPr>
      </w:pPr>
    </w:p>
    <w:p w14:paraId="473E2E96" w14:textId="77777777" w:rsidR="000376D6" w:rsidRPr="003F209E" w:rsidRDefault="00E0170D" w:rsidP="000376D6">
      <w:pPr>
        <w:pStyle w:val="ListParagraph"/>
        <w:numPr>
          <w:ilvl w:val="0"/>
          <w:numId w:val="2"/>
        </w:numPr>
        <w:rPr>
          <w:rFonts w:ascii="Avenir Next LT Pro" w:hAnsi="Avenir Next LT Pro"/>
          <w:sz w:val="22"/>
          <w:szCs w:val="22"/>
        </w:rPr>
      </w:pPr>
      <w:r w:rsidRPr="003F209E">
        <w:rPr>
          <w:rFonts w:ascii="Avenir Next LT Pro" w:hAnsi="Avenir Next LT Pro"/>
          <w:sz w:val="22"/>
          <w:szCs w:val="22"/>
        </w:rPr>
        <w:t xml:space="preserve">Mõned vallad (Rae, Harku) küsivad koolikohtade jagamise raames </w:t>
      </w:r>
      <w:r w:rsidRPr="003F209E">
        <w:rPr>
          <w:rFonts w:ascii="Avenir Next LT Pro" w:hAnsi="Avenir Next LT Pro"/>
          <w:b/>
          <w:sz w:val="22"/>
          <w:szCs w:val="22"/>
        </w:rPr>
        <w:t>perede eelistusi</w:t>
      </w:r>
      <w:r w:rsidR="00485906" w:rsidRPr="003F209E">
        <w:rPr>
          <w:rFonts w:ascii="Avenir Next LT Pro" w:hAnsi="Avenir Next LT Pro"/>
          <w:b/>
          <w:sz w:val="22"/>
          <w:szCs w:val="22"/>
        </w:rPr>
        <w:t xml:space="preserve"> </w:t>
      </w:r>
      <w:r w:rsidR="00485906" w:rsidRPr="003F209E">
        <w:rPr>
          <w:rFonts w:ascii="Avenir Next LT Pro" w:hAnsi="Avenir Next LT Pro"/>
          <w:sz w:val="22"/>
          <w:szCs w:val="22"/>
        </w:rPr>
        <w:t>konkreetsete koolide osas</w:t>
      </w:r>
      <w:r w:rsidRPr="003F209E">
        <w:rPr>
          <w:rFonts w:ascii="Avenir Next LT Pro" w:hAnsi="Avenir Next LT Pro"/>
          <w:sz w:val="22"/>
          <w:szCs w:val="22"/>
        </w:rPr>
        <w:t>. Se</w:t>
      </w:r>
      <w:r w:rsidR="00485906" w:rsidRPr="003F209E">
        <w:rPr>
          <w:rFonts w:ascii="Avenir Next LT Pro" w:hAnsi="Avenir Next LT Pro"/>
          <w:sz w:val="22"/>
          <w:szCs w:val="22"/>
        </w:rPr>
        <w:t>lline praktika</w:t>
      </w:r>
      <w:r w:rsidRPr="003F209E">
        <w:rPr>
          <w:rFonts w:ascii="Avenir Next LT Pro" w:hAnsi="Avenir Next LT Pro"/>
          <w:sz w:val="22"/>
          <w:szCs w:val="22"/>
        </w:rPr>
        <w:t xml:space="preserve"> on </w:t>
      </w:r>
      <w:r w:rsidR="00485906" w:rsidRPr="003F209E">
        <w:rPr>
          <w:rFonts w:ascii="Avenir Next LT Pro" w:hAnsi="Avenir Next LT Pro"/>
          <w:sz w:val="22"/>
          <w:szCs w:val="22"/>
        </w:rPr>
        <w:t xml:space="preserve">üldiselt </w:t>
      </w:r>
      <w:r w:rsidRPr="003F209E">
        <w:rPr>
          <w:rFonts w:ascii="Avenir Next LT Pro" w:hAnsi="Avenir Next LT Pro"/>
          <w:sz w:val="22"/>
          <w:szCs w:val="22"/>
        </w:rPr>
        <w:t>hea</w:t>
      </w:r>
      <w:r w:rsidR="00485906" w:rsidRPr="003F209E">
        <w:rPr>
          <w:rFonts w:ascii="Avenir Next LT Pro" w:hAnsi="Avenir Next LT Pro"/>
          <w:sz w:val="22"/>
          <w:szCs w:val="22"/>
        </w:rPr>
        <w:t>s kooksõlas parimate</w:t>
      </w:r>
      <w:r w:rsidRPr="003F209E">
        <w:rPr>
          <w:rFonts w:ascii="Avenir Next LT Pro" w:hAnsi="Avenir Next LT Pro"/>
          <w:sz w:val="22"/>
          <w:szCs w:val="22"/>
        </w:rPr>
        <w:t xml:space="preserve"> praktika</w:t>
      </w:r>
      <w:r w:rsidR="00485906" w:rsidRPr="003F209E">
        <w:rPr>
          <w:rFonts w:ascii="Avenir Next LT Pro" w:hAnsi="Avenir Next LT Pro"/>
          <w:sz w:val="22"/>
          <w:szCs w:val="22"/>
        </w:rPr>
        <w:t>te</w:t>
      </w:r>
      <w:r w:rsidRPr="003F209E">
        <w:rPr>
          <w:rFonts w:ascii="Avenir Next LT Pro" w:hAnsi="Avenir Next LT Pro"/>
          <w:sz w:val="22"/>
          <w:szCs w:val="22"/>
        </w:rPr>
        <w:t>ga, sest perede eelistused ei pruugi lähtuda alati ei elukohalähedusest ega muudest piirkonna kohajagamise printsiipidest</w:t>
      </w:r>
      <w:r w:rsidR="00485906" w:rsidRPr="003F209E">
        <w:rPr>
          <w:rFonts w:ascii="Avenir Next LT Pro" w:hAnsi="Avenir Next LT Pro"/>
          <w:sz w:val="22"/>
          <w:szCs w:val="22"/>
        </w:rPr>
        <w:t xml:space="preserve"> ja eelistuste küsimine suudab neid võimalikke erisusi kohajagamisel arvesse võtta</w:t>
      </w:r>
      <w:r w:rsidRPr="003F209E">
        <w:rPr>
          <w:rFonts w:ascii="Avenir Next LT Pro" w:hAnsi="Avenir Next LT Pro"/>
          <w:sz w:val="22"/>
          <w:szCs w:val="22"/>
        </w:rPr>
        <w:t xml:space="preserve">. Perede eelistuste küsimisel tasuks </w:t>
      </w:r>
      <w:r w:rsidRPr="003F209E">
        <w:rPr>
          <w:rFonts w:ascii="Avenir Next LT Pro" w:hAnsi="Avenir Next LT Pro"/>
          <w:b/>
          <w:sz w:val="22"/>
          <w:szCs w:val="22"/>
        </w:rPr>
        <w:t>eelistused küsida paremusjärjestusena</w:t>
      </w:r>
      <w:r w:rsidRPr="003F209E">
        <w:rPr>
          <w:rFonts w:ascii="Avenir Next LT Pro" w:hAnsi="Avenir Next LT Pro"/>
          <w:sz w:val="22"/>
          <w:szCs w:val="22"/>
        </w:rPr>
        <w:t xml:space="preserve"> (1., 2. </w:t>
      </w:r>
      <w:r w:rsidRPr="003F209E">
        <w:rPr>
          <w:rFonts w:ascii="Avenir Next LT Pro" w:hAnsi="Avenir Next LT Pro"/>
          <w:sz w:val="22"/>
          <w:szCs w:val="22"/>
        </w:rPr>
        <w:lastRenderedPageBreak/>
        <w:t xml:space="preserve">eelistus), </w:t>
      </w:r>
      <w:r w:rsidR="00485906" w:rsidRPr="003F209E">
        <w:rPr>
          <w:rFonts w:ascii="Avenir Next LT Pro" w:hAnsi="Avenir Next LT Pro"/>
          <w:sz w:val="22"/>
          <w:szCs w:val="22"/>
        </w:rPr>
        <w:t>sest see</w:t>
      </w:r>
      <w:r w:rsidRPr="003F209E">
        <w:rPr>
          <w:rFonts w:ascii="Avenir Next LT Pro" w:hAnsi="Avenir Next LT Pro"/>
          <w:sz w:val="22"/>
          <w:szCs w:val="22"/>
        </w:rPr>
        <w:t xml:space="preserve"> hõlbustab </w:t>
      </w:r>
      <w:proofErr w:type="spellStart"/>
      <w:r w:rsidRPr="003F209E">
        <w:rPr>
          <w:rFonts w:ascii="Avenir Next LT Pro" w:hAnsi="Avenir Next LT Pro"/>
          <w:sz w:val="22"/>
          <w:szCs w:val="22"/>
        </w:rPr>
        <w:t>ülenõudluse</w:t>
      </w:r>
      <w:proofErr w:type="spellEnd"/>
      <w:r w:rsidRPr="003F209E">
        <w:rPr>
          <w:rFonts w:ascii="Avenir Next LT Pro" w:hAnsi="Avenir Next LT Pro"/>
          <w:sz w:val="22"/>
          <w:szCs w:val="22"/>
        </w:rPr>
        <w:t xml:space="preserve"> korral (olukorras, kus kohti on vähem kui soovijaid) põhjendatud ja läbipaistvate otsuste tegemist.</w:t>
      </w:r>
      <w:r w:rsidR="000376D6" w:rsidRPr="003F209E">
        <w:rPr>
          <w:rFonts w:ascii="Avenir Next LT Pro" w:hAnsi="Avenir Next LT Pro"/>
          <w:sz w:val="22"/>
          <w:szCs w:val="22"/>
        </w:rPr>
        <w:t xml:space="preserve"> </w:t>
      </w:r>
    </w:p>
    <w:p w14:paraId="378E1C3D" w14:textId="77777777" w:rsidR="000376D6" w:rsidRPr="003F209E" w:rsidRDefault="000376D6" w:rsidP="000376D6">
      <w:pPr>
        <w:rPr>
          <w:rFonts w:ascii="Avenir Next LT Pro" w:hAnsi="Avenir Next LT Pro"/>
        </w:rPr>
      </w:pPr>
    </w:p>
    <w:p w14:paraId="61DE31A4" w14:textId="77777777" w:rsidR="00883752" w:rsidRPr="003F209E" w:rsidRDefault="00E0170D" w:rsidP="0012580F">
      <w:pPr>
        <w:pStyle w:val="ListParagraph"/>
        <w:numPr>
          <w:ilvl w:val="0"/>
          <w:numId w:val="2"/>
        </w:numPr>
        <w:rPr>
          <w:rFonts w:ascii="Avenir Next LT Pro" w:hAnsi="Avenir Next LT Pro"/>
          <w:sz w:val="22"/>
          <w:szCs w:val="22"/>
        </w:rPr>
      </w:pPr>
      <w:r w:rsidRPr="003F209E">
        <w:rPr>
          <w:rFonts w:ascii="Avenir Next LT Pro" w:hAnsi="Avenir Next LT Pro"/>
          <w:sz w:val="22"/>
          <w:szCs w:val="22"/>
        </w:rPr>
        <w:t xml:space="preserve">See, </w:t>
      </w:r>
      <w:r w:rsidRPr="003F209E">
        <w:rPr>
          <w:rFonts w:ascii="Avenir Next LT Pro" w:hAnsi="Avenir Next LT Pro"/>
          <w:b/>
          <w:sz w:val="22"/>
          <w:szCs w:val="22"/>
        </w:rPr>
        <w:t>kas ja kuidas võetakse koolikohtade jagamise määruses arvesse elukohalähedust</w:t>
      </w:r>
      <w:r w:rsidRPr="003F209E">
        <w:rPr>
          <w:rFonts w:ascii="Avenir Next LT Pro" w:hAnsi="Avenir Next LT Pro"/>
          <w:sz w:val="22"/>
          <w:szCs w:val="22"/>
        </w:rPr>
        <w:t xml:space="preserve">, erineb piirkonniti. </w:t>
      </w:r>
      <w:r w:rsidR="00485906" w:rsidRPr="003F209E">
        <w:rPr>
          <w:rFonts w:ascii="Avenir Next LT Pro" w:hAnsi="Avenir Next LT Pro"/>
          <w:sz w:val="22"/>
          <w:szCs w:val="22"/>
        </w:rPr>
        <w:t xml:space="preserve">On valdasid, kus eri koolidel on valla sees defineeritud </w:t>
      </w:r>
      <w:r w:rsidR="00485906" w:rsidRPr="003F209E">
        <w:rPr>
          <w:rFonts w:ascii="Avenir Next LT Pro" w:hAnsi="Avenir Next LT Pro"/>
          <w:b/>
          <w:sz w:val="22"/>
          <w:szCs w:val="22"/>
        </w:rPr>
        <w:t>teeninduspiirkonnad</w:t>
      </w:r>
      <w:r w:rsidR="00485906" w:rsidRPr="003F209E">
        <w:rPr>
          <w:rFonts w:ascii="Avenir Next LT Pro" w:hAnsi="Avenir Next LT Pro"/>
          <w:sz w:val="22"/>
          <w:szCs w:val="22"/>
        </w:rPr>
        <w:t xml:space="preserve"> (Jõelähtme, Kose, Saue)</w:t>
      </w:r>
      <w:r w:rsidR="005060F0" w:rsidRPr="003F209E">
        <w:rPr>
          <w:rFonts w:ascii="Avenir Next LT Pro" w:hAnsi="Avenir Next LT Pro"/>
          <w:sz w:val="22"/>
          <w:szCs w:val="22"/>
        </w:rPr>
        <w:t xml:space="preserve">, aga ka neid, kus kogu vald on üks teeninduspiirkond. Mitme kooli olemasolu puhul võib sellisel juhul </w:t>
      </w:r>
      <w:r w:rsidR="005060F0" w:rsidRPr="00F31E92">
        <w:rPr>
          <w:rFonts w:ascii="Avenir Next LT Pro" w:hAnsi="Avenir Next LT Pro"/>
          <w:b/>
          <w:bCs/>
          <w:sz w:val="22"/>
          <w:szCs w:val="22"/>
        </w:rPr>
        <w:t>tekkida olukord, kus tekib vajadus kodulähedust mõõta</w:t>
      </w:r>
      <w:r w:rsidR="005060F0" w:rsidRPr="003F209E">
        <w:rPr>
          <w:rFonts w:ascii="Avenir Next LT Pro" w:hAnsi="Avenir Next LT Pro"/>
          <w:sz w:val="22"/>
          <w:szCs w:val="22"/>
        </w:rPr>
        <w:t xml:space="preserve"> (a la lähemal </w:t>
      </w:r>
      <w:r w:rsidR="004C3D8D" w:rsidRPr="003F209E">
        <w:rPr>
          <w:rFonts w:ascii="Avenir Next LT Pro" w:hAnsi="Avenir Next LT Pro"/>
          <w:sz w:val="22"/>
          <w:szCs w:val="22"/>
        </w:rPr>
        <w:t>elaval</w:t>
      </w:r>
      <w:r w:rsidR="005060F0" w:rsidRPr="003F209E">
        <w:rPr>
          <w:rFonts w:ascii="Avenir Next LT Pro" w:hAnsi="Avenir Next LT Pro"/>
          <w:sz w:val="22"/>
          <w:szCs w:val="22"/>
        </w:rPr>
        <w:t xml:space="preserve"> lapsel on suurem eesõigus kohale). Siin</w:t>
      </w:r>
      <w:r w:rsidR="004C3D8D" w:rsidRPr="003F209E">
        <w:rPr>
          <w:rFonts w:ascii="Avenir Next LT Pro" w:hAnsi="Avenir Next LT Pro"/>
          <w:sz w:val="22"/>
          <w:szCs w:val="22"/>
        </w:rPr>
        <w:t xml:space="preserve"> </w:t>
      </w:r>
      <w:r w:rsidR="00883752" w:rsidRPr="003F209E">
        <w:rPr>
          <w:rFonts w:ascii="Avenir Next LT Pro" w:hAnsi="Avenir Next LT Pro"/>
          <w:sz w:val="22"/>
          <w:szCs w:val="22"/>
        </w:rPr>
        <w:t xml:space="preserve">on mitmeid praktikaid, sh avalike teede võrgu arvesse võtmine kui </w:t>
      </w:r>
      <w:r w:rsidR="000376D6" w:rsidRPr="003F209E">
        <w:rPr>
          <w:rFonts w:ascii="Avenir Next LT Pro" w:hAnsi="Avenir Next LT Pro"/>
          <w:sz w:val="22"/>
          <w:szCs w:val="22"/>
        </w:rPr>
        <w:t xml:space="preserve">ka nt </w:t>
      </w:r>
      <w:r w:rsidR="00883752" w:rsidRPr="003F209E">
        <w:rPr>
          <w:rFonts w:ascii="Avenir Next LT Pro" w:hAnsi="Avenir Next LT Pro"/>
          <w:sz w:val="22"/>
          <w:szCs w:val="22"/>
        </w:rPr>
        <w:t>nö linnulennuline mõõtmine.</w:t>
      </w:r>
    </w:p>
    <w:p w14:paraId="2423467C" w14:textId="77777777" w:rsidR="00B845A3" w:rsidRPr="003F209E" w:rsidRDefault="00B845A3" w:rsidP="00883752">
      <w:pPr>
        <w:pStyle w:val="ListParagraph"/>
        <w:numPr>
          <w:ilvl w:val="1"/>
          <w:numId w:val="2"/>
        </w:numPr>
        <w:rPr>
          <w:rFonts w:ascii="Avenir Next LT Pro" w:hAnsi="Avenir Next LT Pro"/>
          <w:sz w:val="22"/>
          <w:szCs w:val="22"/>
        </w:rPr>
      </w:pPr>
      <w:r w:rsidRPr="003F209E">
        <w:rPr>
          <w:rFonts w:ascii="Avenir Next LT Pro" w:hAnsi="Avenir Next LT Pro"/>
          <w:sz w:val="22"/>
          <w:szCs w:val="22"/>
        </w:rPr>
        <w:t>K</w:t>
      </w:r>
      <w:r w:rsidR="00883752" w:rsidRPr="003F209E">
        <w:rPr>
          <w:rFonts w:ascii="Avenir Next LT Pro" w:hAnsi="Avenir Next LT Pro"/>
          <w:sz w:val="22"/>
          <w:szCs w:val="22"/>
        </w:rPr>
        <w:t>õ</w:t>
      </w:r>
      <w:r w:rsidRPr="003F209E">
        <w:rPr>
          <w:rFonts w:ascii="Avenir Next LT Pro" w:hAnsi="Avenir Next LT Pro"/>
          <w:sz w:val="22"/>
          <w:szCs w:val="22"/>
        </w:rPr>
        <w:t>las arvamus, et kui kohalik koolikohtade jagamise määrus ei sätesta piirkondi, siis perel on alus</w:t>
      </w:r>
      <w:r w:rsidR="000376D6" w:rsidRPr="003F209E">
        <w:rPr>
          <w:rFonts w:ascii="Avenir Next LT Pro" w:hAnsi="Avenir Next LT Pro"/>
          <w:sz w:val="22"/>
          <w:szCs w:val="22"/>
        </w:rPr>
        <w:t xml:space="preserve"> </w:t>
      </w:r>
      <w:r w:rsidRPr="003F209E">
        <w:rPr>
          <w:rFonts w:ascii="Avenir Next LT Pro" w:hAnsi="Avenir Next LT Pro"/>
          <w:sz w:val="22"/>
          <w:szCs w:val="22"/>
        </w:rPr>
        <w:t>kohast ilmajäämise korral see</w:t>
      </w:r>
      <w:r w:rsidR="000376D6" w:rsidRPr="003F209E">
        <w:rPr>
          <w:rFonts w:ascii="Avenir Next LT Pro" w:hAnsi="Avenir Next LT Pro"/>
          <w:sz w:val="22"/>
          <w:szCs w:val="22"/>
        </w:rPr>
        <w:t xml:space="preserve"> otsus kohtus</w:t>
      </w:r>
      <w:r w:rsidRPr="003F209E">
        <w:rPr>
          <w:rFonts w:ascii="Avenir Next LT Pro" w:hAnsi="Avenir Next LT Pro"/>
          <w:sz w:val="22"/>
          <w:szCs w:val="22"/>
        </w:rPr>
        <w:t xml:space="preserve"> vaidlustada. See ilmselt tasuks juristidega läbi arutada, aga ilmselt viitab sellele, et valla-poolselt oleks mitme kooli korral kindlam piirkondade-põhine koolikohtade jagamine. </w:t>
      </w:r>
    </w:p>
    <w:p w14:paraId="7853B7B8" w14:textId="77777777" w:rsidR="000376D6" w:rsidRPr="003F209E" w:rsidRDefault="000376D6" w:rsidP="00883752">
      <w:pPr>
        <w:pStyle w:val="ListParagraph"/>
        <w:numPr>
          <w:ilvl w:val="1"/>
          <w:numId w:val="2"/>
        </w:numPr>
        <w:rPr>
          <w:rFonts w:ascii="Avenir Next LT Pro" w:hAnsi="Avenir Next LT Pro"/>
          <w:sz w:val="22"/>
          <w:szCs w:val="22"/>
        </w:rPr>
      </w:pPr>
      <w:r w:rsidRPr="003F209E">
        <w:rPr>
          <w:rFonts w:ascii="Avenir Next LT Pro" w:hAnsi="Avenir Next LT Pro"/>
          <w:sz w:val="22"/>
          <w:szCs w:val="22"/>
        </w:rPr>
        <w:t xml:space="preserve">Perede vaatest selline tsooni- või piirkonnapõhine vaade ei pruugi aga parim valik olla, sest nagu ka eelistuste juures viidatud, perede eelistused ei pruugi olla seotud </w:t>
      </w:r>
      <w:r w:rsidRPr="00F31E92">
        <w:rPr>
          <w:rFonts w:ascii="Avenir Next LT Pro" w:hAnsi="Avenir Next LT Pro"/>
          <w:b/>
          <w:bCs/>
          <w:sz w:val="22"/>
          <w:szCs w:val="22"/>
        </w:rPr>
        <w:t>elukohalähedusega ja mida kõrgema kooliastme koolikohtadest me räägime, seda vähem nii.</w:t>
      </w:r>
      <w:r w:rsidRPr="003F209E">
        <w:rPr>
          <w:rFonts w:ascii="Avenir Next LT Pro" w:hAnsi="Avenir Next LT Pro"/>
          <w:sz w:val="22"/>
          <w:szCs w:val="22"/>
        </w:rPr>
        <w:t xml:space="preserve"> Seega pigem ei soovitaks olemasoleva valdade sees lisapiirkondade tekitamist ja pigem vastupidi, kutsuks üles arutama üle valdade koolikohtade jagamise võimaluste leidmiseks, sh selliseks, kus ühes jagamissüsteemi sees on kõik koolid, sõltumata koolipidajast.</w:t>
      </w:r>
    </w:p>
    <w:p w14:paraId="3EBC0248" w14:textId="77777777" w:rsidR="000376D6" w:rsidRPr="003F209E" w:rsidRDefault="000376D6" w:rsidP="000376D6">
      <w:pPr>
        <w:pStyle w:val="ListParagraph"/>
        <w:ind w:left="1440"/>
        <w:rPr>
          <w:rFonts w:ascii="Avenir Next LT Pro" w:hAnsi="Avenir Next LT Pro"/>
          <w:sz w:val="22"/>
          <w:szCs w:val="22"/>
        </w:rPr>
      </w:pPr>
    </w:p>
    <w:p w14:paraId="4DB0687C" w14:textId="77777777" w:rsidR="00BF16EE" w:rsidRPr="003F209E" w:rsidRDefault="000376D6" w:rsidP="000376D6">
      <w:pPr>
        <w:pStyle w:val="ListParagraph"/>
        <w:numPr>
          <w:ilvl w:val="0"/>
          <w:numId w:val="2"/>
        </w:numPr>
        <w:rPr>
          <w:rFonts w:ascii="Avenir Next LT Pro" w:hAnsi="Avenir Next LT Pro"/>
          <w:sz w:val="22"/>
          <w:szCs w:val="22"/>
        </w:rPr>
      </w:pPr>
      <w:r w:rsidRPr="003F209E">
        <w:rPr>
          <w:rFonts w:ascii="Avenir Next LT Pro" w:hAnsi="Avenir Next LT Pro"/>
          <w:b/>
          <w:sz w:val="22"/>
          <w:szCs w:val="22"/>
        </w:rPr>
        <w:t>HEV õpilastele kohtade võimaldami</w:t>
      </w:r>
      <w:r w:rsidR="00BF16EE" w:rsidRPr="003F209E">
        <w:rPr>
          <w:rFonts w:ascii="Avenir Next LT Pro" w:hAnsi="Avenir Next LT Pro"/>
          <w:b/>
          <w:sz w:val="22"/>
          <w:szCs w:val="22"/>
        </w:rPr>
        <w:t>s</w:t>
      </w:r>
      <w:r w:rsidRPr="003F209E">
        <w:rPr>
          <w:rFonts w:ascii="Avenir Next LT Pro" w:hAnsi="Avenir Next LT Pro"/>
          <w:b/>
          <w:sz w:val="22"/>
          <w:szCs w:val="22"/>
        </w:rPr>
        <w:t>e</w:t>
      </w:r>
      <w:r w:rsidR="00BF16EE" w:rsidRPr="003F209E">
        <w:rPr>
          <w:rFonts w:ascii="Avenir Next LT Pro" w:hAnsi="Avenir Next LT Pro"/>
          <w:b/>
          <w:sz w:val="22"/>
          <w:szCs w:val="22"/>
        </w:rPr>
        <w:t xml:space="preserve"> põhimõtted</w:t>
      </w:r>
      <w:r w:rsidRPr="003F209E">
        <w:rPr>
          <w:rFonts w:ascii="Avenir Next LT Pro" w:hAnsi="Avenir Next LT Pro"/>
          <w:sz w:val="22"/>
          <w:szCs w:val="22"/>
        </w:rPr>
        <w:t xml:space="preserve"> on kaasava hariduse </w:t>
      </w:r>
      <w:r w:rsidR="00BF16EE" w:rsidRPr="003F209E">
        <w:rPr>
          <w:rFonts w:ascii="Avenir Next LT Pro" w:hAnsi="Avenir Next LT Pro"/>
          <w:sz w:val="22"/>
          <w:szCs w:val="22"/>
        </w:rPr>
        <w:t>eesmärgiks seadmise</w:t>
      </w:r>
      <w:r w:rsidRPr="003F209E">
        <w:rPr>
          <w:rFonts w:ascii="Avenir Next LT Pro" w:hAnsi="Avenir Next LT Pro"/>
          <w:sz w:val="22"/>
          <w:szCs w:val="22"/>
        </w:rPr>
        <w:t xml:space="preserve"> ja HEV</w:t>
      </w:r>
      <w:r w:rsidR="00BF16EE" w:rsidRPr="003F209E">
        <w:rPr>
          <w:rFonts w:ascii="Avenir Next LT Pro" w:hAnsi="Avenir Next LT Pro"/>
          <w:sz w:val="22"/>
          <w:szCs w:val="22"/>
        </w:rPr>
        <w:t xml:space="preserve"> </w:t>
      </w:r>
      <w:r w:rsidRPr="003F209E">
        <w:rPr>
          <w:rFonts w:ascii="Avenir Next LT Pro" w:hAnsi="Avenir Next LT Pro"/>
          <w:sz w:val="22"/>
          <w:szCs w:val="22"/>
        </w:rPr>
        <w:t>õpilaste</w:t>
      </w:r>
      <w:r w:rsidR="00BF16EE" w:rsidRPr="003F209E">
        <w:rPr>
          <w:rFonts w:ascii="Avenir Next LT Pro" w:hAnsi="Avenir Next LT Pro"/>
          <w:sz w:val="22"/>
          <w:szCs w:val="22"/>
        </w:rPr>
        <w:t xml:space="preserve"> arvu suurenemise kontekstis kindlasti üha olulisemaks tõusev teema ja tasuks samuti kohajagamise praktikate raames läbi arutada. Praegu on Harjumaa kaks valda (Anija, Maardu), kes on oma kohamääruses sätestanud teiste valdade HEV õpilaste mitte vastuvõtmise. Tasuks selgitada sellise praktika asjaolusid ja kooskõla kaasava hariduse põhimõtetega.</w:t>
      </w:r>
    </w:p>
    <w:p w14:paraId="03A53F35" w14:textId="77777777" w:rsidR="003F209E" w:rsidRPr="003F209E" w:rsidRDefault="003F209E" w:rsidP="003F209E">
      <w:pPr>
        <w:rPr>
          <w:rFonts w:ascii="Avenir Next LT Pro" w:hAnsi="Avenir Next LT Pro"/>
        </w:rPr>
      </w:pPr>
    </w:p>
    <w:p w14:paraId="757685C7" w14:textId="77777777" w:rsidR="003F209E" w:rsidRPr="003F209E" w:rsidRDefault="003F209E" w:rsidP="003F209E">
      <w:pPr>
        <w:pStyle w:val="ListParagraph"/>
        <w:numPr>
          <w:ilvl w:val="0"/>
          <w:numId w:val="2"/>
        </w:numPr>
        <w:rPr>
          <w:rFonts w:ascii="Avenir Next LT Pro" w:hAnsi="Avenir Next LT Pro"/>
          <w:sz w:val="22"/>
          <w:szCs w:val="22"/>
        </w:rPr>
      </w:pPr>
      <w:r w:rsidRPr="003F209E">
        <w:rPr>
          <w:rFonts w:ascii="Avenir Next LT Pro" w:hAnsi="Avenir Next LT Pro"/>
          <w:b/>
          <w:sz w:val="22"/>
          <w:szCs w:val="22"/>
        </w:rPr>
        <w:t>Võimalused perede koolivaliku toetamiseks</w:t>
      </w:r>
      <w:r w:rsidRPr="003F209E">
        <w:rPr>
          <w:rFonts w:ascii="Avenir Next LT Pro" w:hAnsi="Avenir Next LT Pro"/>
          <w:sz w:val="22"/>
          <w:szCs w:val="22"/>
        </w:rPr>
        <w:t xml:space="preserve">. Kui liigume senise nö torukooli-põhiselt mudelilt mitmekesisemate võimaluste ja valikute poole, siis peab arvestama, et perede võimalused ja ka motivatsioon valikuid teha on väga erinevad (nagu üks arutelus osalenu ilmekalt välja tõi, ka </w:t>
      </w:r>
      <w:r w:rsidRPr="003F209E">
        <w:rPr>
          <w:rFonts w:ascii="Avenir Next LT Pro" w:hAnsi="Avenir Next LT Pro"/>
          <w:b/>
          <w:sz w:val="22"/>
          <w:szCs w:val="22"/>
        </w:rPr>
        <w:t>taotlemisvõimekus</w:t>
      </w:r>
      <w:r w:rsidRPr="003F209E">
        <w:rPr>
          <w:rFonts w:ascii="Avenir Next LT Pro" w:hAnsi="Avenir Next LT Pro"/>
          <w:sz w:val="22"/>
          <w:szCs w:val="22"/>
        </w:rPr>
        <w:t xml:space="preserve"> on erinev ehk mõni lapsevanem ei suuda/taha/tea ka siseneda andmebaasi ja teha õigesse kohta nö linnukest). Piirkonna hariduskorraldajatel on seega oluline mõelda võimalustele, mis lapse koolivaliku sõltumatust pere taotlemisvõimekusest suurendaks. Siin paraku lihtsaid lahendusi ei ole. Eelviidatud keskse süsteemi/andmekoja põhise soovitusele </w:t>
      </w:r>
      <w:r w:rsidR="00F4759D">
        <w:rPr>
          <w:rFonts w:ascii="Avenir Next LT Pro" w:hAnsi="Avenir Next LT Pro"/>
          <w:sz w:val="22"/>
          <w:szCs w:val="22"/>
        </w:rPr>
        <w:t xml:space="preserve">(nt ARNO põhise lahenduse edasiarendamine) </w:t>
      </w:r>
      <w:r w:rsidRPr="003F209E">
        <w:rPr>
          <w:rFonts w:ascii="Avenir Next LT Pro" w:hAnsi="Avenir Next LT Pro"/>
          <w:sz w:val="22"/>
          <w:szCs w:val="22"/>
        </w:rPr>
        <w:t xml:space="preserve">lisaks oleks kindlasti abi nii keskne läbimõtlemine, millised haridusvalikud ja -rajad piirkonna lastele võimalikud on, sh jaga sellekohast informatsiooni nii läbi lasteaedade kui koolide, nõustada peresid ja pakkuda võimalusi ka vallaametniku abiga taotluse täitmiseks, teha koostööd sotsiaalametnikega jm taoline.  </w:t>
      </w:r>
    </w:p>
    <w:p w14:paraId="5EF725F7" w14:textId="77777777" w:rsidR="000376D6" w:rsidRPr="003F209E" w:rsidRDefault="00BF16EE" w:rsidP="00BF16EE">
      <w:pPr>
        <w:pStyle w:val="ListParagraph"/>
        <w:rPr>
          <w:rFonts w:ascii="Avenir Next LT Pro" w:hAnsi="Avenir Next LT Pro"/>
          <w:sz w:val="22"/>
          <w:szCs w:val="22"/>
        </w:rPr>
      </w:pPr>
      <w:r w:rsidRPr="003F209E">
        <w:rPr>
          <w:rFonts w:ascii="Avenir Next LT Pro" w:hAnsi="Avenir Next LT Pro"/>
          <w:sz w:val="22"/>
          <w:szCs w:val="22"/>
        </w:rPr>
        <w:t xml:space="preserve">    </w:t>
      </w:r>
      <w:r w:rsidR="000376D6" w:rsidRPr="003F209E">
        <w:rPr>
          <w:rFonts w:ascii="Avenir Next LT Pro" w:hAnsi="Avenir Next LT Pro"/>
          <w:sz w:val="22"/>
          <w:szCs w:val="22"/>
        </w:rPr>
        <w:t xml:space="preserve">   </w:t>
      </w:r>
    </w:p>
    <w:p w14:paraId="4A786C8A" w14:textId="77777777" w:rsidR="003B0411" w:rsidRPr="003F209E" w:rsidRDefault="005060F0" w:rsidP="000376D6">
      <w:pPr>
        <w:rPr>
          <w:rFonts w:ascii="Avenir Next LT Pro" w:hAnsi="Avenir Next LT Pro"/>
        </w:rPr>
      </w:pPr>
      <w:r w:rsidRPr="003F209E">
        <w:rPr>
          <w:rFonts w:ascii="Avenir Next LT Pro" w:hAnsi="Avenir Next LT Pro"/>
        </w:rPr>
        <w:t xml:space="preserve">  </w:t>
      </w:r>
      <w:r w:rsidR="00485906" w:rsidRPr="003F209E">
        <w:rPr>
          <w:rFonts w:ascii="Avenir Next LT Pro" w:hAnsi="Avenir Next LT Pro"/>
        </w:rPr>
        <w:t xml:space="preserve"> </w:t>
      </w:r>
      <w:r w:rsidR="00E0170D" w:rsidRPr="003F209E">
        <w:rPr>
          <w:rFonts w:ascii="Avenir Next LT Pro" w:hAnsi="Avenir Next LT Pro"/>
        </w:rPr>
        <w:t xml:space="preserve">  </w:t>
      </w:r>
    </w:p>
    <w:sectPr w:rsidR="003B0411" w:rsidRPr="003F2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venir Next LT Pro">
    <w:charset w:val="BA"/>
    <w:family w:val="swiss"/>
    <w:pitch w:val="variable"/>
    <w:sig w:usb0="800000EF" w:usb1="5000204A" w:usb2="00000000" w:usb3="00000000" w:csb0="00000093"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617"/>
    <w:multiLevelType w:val="hybridMultilevel"/>
    <w:tmpl w:val="BB702B3C"/>
    <w:lvl w:ilvl="0" w:tplc="0C000011">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1F55482F"/>
    <w:multiLevelType w:val="hybridMultilevel"/>
    <w:tmpl w:val="CB5C1056"/>
    <w:lvl w:ilvl="0" w:tplc="C25484D2">
      <w:start w:val="1"/>
      <w:numFmt w:val="bullet"/>
      <w:lvlText w:val="-"/>
      <w:lvlJc w:val="left"/>
      <w:pPr>
        <w:ind w:left="1080" w:hanging="360"/>
      </w:pPr>
      <w:rPr>
        <w:rFonts w:ascii="Avenir Next LT Pro" w:eastAsia="Times New Roman" w:hAnsi="Avenir Next LT Pro" w:cs="Times New Roman"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 w15:restartNumberingAfterBreak="0">
    <w:nsid w:val="47C22A97"/>
    <w:multiLevelType w:val="hybridMultilevel"/>
    <w:tmpl w:val="4774B432"/>
    <w:lvl w:ilvl="0" w:tplc="57F2482C">
      <w:start w:val="1"/>
      <w:numFmt w:val="bullet"/>
      <w:lvlText w:val="•"/>
      <w:lvlJc w:val="left"/>
      <w:pPr>
        <w:tabs>
          <w:tab w:val="num" w:pos="720"/>
        </w:tabs>
        <w:ind w:left="720" w:hanging="360"/>
      </w:pPr>
      <w:rPr>
        <w:rFonts w:ascii="Arial" w:hAnsi="Arial" w:hint="default"/>
      </w:rPr>
    </w:lvl>
    <w:lvl w:ilvl="1" w:tplc="2F9003F8" w:tentative="1">
      <w:start w:val="1"/>
      <w:numFmt w:val="bullet"/>
      <w:lvlText w:val="•"/>
      <w:lvlJc w:val="left"/>
      <w:pPr>
        <w:tabs>
          <w:tab w:val="num" w:pos="1440"/>
        </w:tabs>
        <w:ind w:left="1440" w:hanging="360"/>
      </w:pPr>
      <w:rPr>
        <w:rFonts w:ascii="Arial" w:hAnsi="Arial" w:hint="default"/>
      </w:rPr>
    </w:lvl>
    <w:lvl w:ilvl="2" w:tplc="884C5D18" w:tentative="1">
      <w:start w:val="1"/>
      <w:numFmt w:val="bullet"/>
      <w:lvlText w:val="•"/>
      <w:lvlJc w:val="left"/>
      <w:pPr>
        <w:tabs>
          <w:tab w:val="num" w:pos="2160"/>
        </w:tabs>
        <w:ind w:left="2160" w:hanging="360"/>
      </w:pPr>
      <w:rPr>
        <w:rFonts w:ascii="Arial" w:hAnsi="Arial" w:hint="default"/>
      </w:rPr>
    </w:lvl>
    <w:lvl w:ilvl="3" w:tplc="CFB260D4" w:tentative="1">
      <w:start w:val="1"/>
      <w:numFmt w:val="bullet"/>
      <w:lvlText w:val="•"/>
      <w:lvlJc w:val="left"/>
      <w:pPr>
        <w:tabs>
          <w:tab w:val="num" w:pos="2880"/>
        </w:tabs>
        <w:ind w:left="2880" w:hanging="360"/>
      </w:pPr>
      <w:rPr>
        <w:rFonts w:ascii="Arial" w:hAnsi="Arial" w:hint="default"/>
      </w:rPr>
    </w:lvl>
    <w:lvl w:ilvl="4" w:tplc="43206E9A" w:tentative="1">
      <w:start w:val="1"/>
      <w:numFmt w:val="bullet"/>
      <w:lvlText w:val="•"/>
      <w:lvlJc w:val="left"/>
      <w:pPr>
        <w:tabs>
          <w:tab w:val="num" w:pos="3600"/>
        </w:tabs>
        <w:ind w:left="3600" w:hanging="360"/>
      </w:pPr>
      <w:rPr>
        <w:rFonts w:ascii="Arial" w:hAnsi="Arial" w:hint="default"/>
      </w:rPr>
    </w:lvl>
    <w:lvl w:ilvl="5" w:tplc="62305C48" w:tentative="1">
      <w:start w:val="1"/>
      <w:numFmt w:val="bullet"/>
      <w:lvlText w:val="•"/>
      <w:lvlJc w:val="left"/>
      <w:pPr>
        <w:tabs>
          <w:tab w:val="num" w:pos="4320"/>
        </w:tabs>
        <w:ind w:left="4320" w:hanging="360"/>
      </w:pPr>
      <w:rPr>
        <w:rFonts w:ascii="Arial" w:hAnsi="Arial" w:hint="default"/>
      </w:rPr>
    </w:lvl>
    <w:lvl w:ilvl="6" w:tplc="CA00E078" w:tentative="1">
      <w:start w:val="1"/>
      <w:numFmt w:val="bullet"/>
      <w:lvlText w:val="•"/>
      <w:lvlJc w:val="left"/>
      <w:pPr>
        <w:tabs>
          <w:tab w:val="num" w:pos="5040"/>
        </w:tabs>
        <w:ind w:left="5040" w:hanging="360"/>
      </w:pPr>
      <w:rPr>
        <w:rFonts w:ascii="Arial" w:hAnsi="Arial" w:hint="default"/>
      </w:rPr>
    </w:lvl>
    <w:lvl w:ilvl="7" w:tplc="1942459C" w:tentative="1">
      <w:start w:val="1"/>
      <w:numFmt w:val="bullet"/>
      <w:lvlText w:val="•"/>
      <w:lvlJc w:val="left"/>
      <w:pPr>
        <w:tabs>
          <w:tab w:val="num" w:pos="5760"/>
        </w:tabs>
        <w:ind w:left="5760" w:hanging="360"/>
      </w:pPr>
      <w:rPr>
        <w:rFonts w:ascii="Arial" w:hAnsi="Arial" w:hint="default"/>
      </w:rPr>
    </w:lvl>
    <w:lvl w:ilvl="8" w:tplc="C558648C" w:tentative="1">
      <w:start w:val="1"/>
      <w:numFmt w:val="bullet"/>
      <w:lvlText w:val="•"/>
      <w:lvlJc w:val="left"/>
      <w:pPr>
        <w:tabs>
          <w:tab w:val="num" w:pos="6480"/>
        </w:tabs>
        <w:ind w:left="6480" w:hanging="360"/>
      </w:pPr>
      <w:rPr>
        <w:rFonts w:ascii="Arial" w:hAnsi="Arial" w:hint="default"/>
      </w:rPr>
    </w:lvl>
  </w:abstractNum>
  <w:num w:numId="1" w16cid:durableId="1506362666">
    <w:abstractNumId w:val="2"/>
  </w:num>
  <w:num w:numId="2" w16cid:durableId="1351374889">
    <w:abstractNumId w:val="0"/>
  </w:num>
  <w:num w:numId="3" w16cid:durableId="48382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11"/>
    <w:rsid w:val="00030C7C"/>
    <w:rsid w:val="000376D6"/>
    <w:rsid w:val="0012580F"/>
    <w:rsid w:val="00310805"/>
    <w:rsid w:val="003B0411"/>
    <w:rsid w:val="003F209E"/>
    <w:rsid w:val="00485906"/>
    <w:rsid w:val="004C3D8D"/>
    <w:rsid w:val="005060F0"/>
    <w:rsid w:val="005C205B"/>
    <w:rsid w:val="00867C98"/>
    <w:rsid w:val="00883752"/>
    <w:rsid w:val="00947E8E"/>
    <w:rsid w:val="00B845A3"/>
    <w:rsid w:val="00BF16EE"/>
    <w:rsid w:val="00BF494A"/>
    <w:rsid w:val="00E0170D"/>
    <w:rsid w:val="00F31E92"/>
    <w:rsid w:val="00F4759D"/>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7BC5"/>
  <w15:chartTrackingRefBased/>
  <w15:docId w15:val="{B17935BF-8412-4021-B591-A4E95255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94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56839">
      <w:bodyDiv w:val="1"/>
      <w:marLeft w:val="0"/>
      <w:marRight w:val="0"/>
      <w:marTop w:val="0"/>
      <w:marBottom w:val="0"/>
      <w:divBdr>
        <w:top w:val="none" w:sz="0" w:space="0" w:color="auto"/>
        <w:left w:val="none" w:sz="0" w:space="0" w:color="auto"/>
        <w:bottom w:val="none" w:sz="0" w:space="0" w:color="auto"/>
        <w:right w:val="none" w:sz="0" w:space="0" w:color="auto"/>
      </w:divBdr>
      <w:divsChild>
        <w:div w:id="36309517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885</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Lauri</dc:creator>
  <cp:keywords/>
  <dc:description/>
  <cp:lastModifiedBy>Katrin Krause</cp:lastModifiedBy>
  <cp:revision>4</cp:revision>
  <dcterms:created xsi:type="dcterms:W3CDTF">2023-11-12T18:08:00Z</dcterms:created>
  <dcterms:modified xsi:type="dcterms:W3CDTF">2023-11-27T10:52:00Z</dcterms:modified>
</cp:coreProperties>
</file>